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C33761" w:rsidP="00C33761">
      <w:pPr>
        <w:pStyle w:val="a5"/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7E7E" w:rsidRDefault="00A6485C" w:rsidP="009060FC">
      <w:pPr>
        <w:pStyle w:val="a5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Консультация</w:t>
      </w:r>
      <w:r w:rsidR="00C33761" w:rsidRPr="00C33761">
        <w:rPr>
          <w:rFonts w:cs="Times New Roman"/>
          <w:b/>
          <w:sz w:val="40"/>
          <w:szCs w:val="40"/>
        </w:rPr>
        <w:t xml:space="preserve"> для воспитателей</w:t>
      </w:r>
      <w:r w:rsidR="00C33761">
        <w:rPr>
          <w:rFonts w:cs="Times New Roman"/>
          <w:b/>
          <w:sz w:val="40"/>
          <w:szCs w:val="40"/>
        </w:rPr>
        <w:t xml:space="preserve"> </w:t>
      </w:r>
    </w:p>
    <w:p w:rsidR="00C33761" w:rsidRDefault="00C33761" w:rsidP="009060FC">
      <w:pPr>
        <w:pStyle w:val="a5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на тему: </w:t>
      </w:r>
    </w:p>
    <w:p w:rsidR="00C33761" w:rsidRPr="00C33761" w:rsidRDefault="00A6485C" w:rsidP="009060FC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cs="Times New Roman"/>
          <w:b/>
          <w:i/>
          <w:sz w:val="40"/>
          <w:szCs w:val="40"/>
        </w:rPr>
        <w:t>«Формирование предметного содержания модулей РППС</w:t>
      </w:r>
      <w:r w:rsidR="00C33761">
        <w:rPr>
          <w:rFonts w:cs="Times New Roman"/>
          <w:b/>
          <w:i/>
          <w:sz w:val="40"/>
          <w:szCs w:val="40"/>
        </w:rPr>
        <w:t>»</w:t>
      </w: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Подготовила воспитатель первой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7E7E">
        <w:rPr>
          <w:rFonts w:ascii="Times New Roman" w:hAnsi="Times New Roman" w:cs="Times New Roman"/>
          <w:b/>
          <w:sz w:val="24"/>
          <w:szCs w:val="24"/>
        </w:rPr>
        <w:t>квалификационной категории</w:t>
      </w:r>
    </w:p>
    <w:p w:rsidR="00177E7E" w:rsidRPr="00177E7E" w:rsidRDefault="00177E7E" w:rsidP="00177E7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7E7E">
        <w:rPr>
          <w:rFonts w:ascii="Times New Roman" w:hAnsi="Times New Roman" w:cs="Times New Roman"/>
          <w:b/>
          <w:sz w:val="24"/>
          <w:szCs w:val="24"/>
        </w:rPr>
        <w:t>Тарчева</w:t>
      </w:r>
      <w:proofErr w:type="spellEnd"/>
      <w:r w:rsidRPr="00177E7E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7E7E" w:rsidRDefault="00177E7E" w:rsidP="00177E7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245FA" w:rsidRDefault="004245FA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485C" w:rsidRPr="00177E7E" w:rsidRDefault="00A6485C" w:rsidP="00A6485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МАДОУ №47 «Дельфин»</w:t>
      </w:r>
    </w:p>
    <w:p w:rsidR="00A6485C" w:rsidRPr="00177E7E" w:rsidRDefault="00A6485C" w:rsidP="00A6485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7E7E">
        <w:rPr>
          <w:rFonts w:ascii="Times New Roman" w:hAnsi="Times New Roman" w:cs="Times New Roman"/>
          <w:b/>
          <w:sz w:val="20"/>
          <w:szCs w:val="20"/>
        </w:rPr>
        <w:t>Г.Мытищи</w:t>
      </w:r>
    </w:p>
    <w:p w:rsidR="00A6485C" w:rsidRPr="00177E7E" w:rsidRDefault="00A6485C" w:rsidP="00A6485C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2021</w:t>
      </w:r>
      <w:r w:rsidRPr="00177E7E">
        <w:rPr>
          <w:rFonts w:ascii="Times New Roman" w:hAnsi="Times New Roman" w:cs="Times New Roman"/>
          <w:b/>
          <w:sz w:val="20"/>
          <w:szCs w:val="20"/>
        </w:rPr>
        <w:t>г.</w:t>
      </w:r>
    </w:p>
    <w:p w:rsidR="009060FC" w:rsidRDefault="009060FC" w:rsidP="004245FA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0FC" w:rsidRPr="00A6485C" w:rsidRDefault="009060FC" w:rsidP="00A648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485C" w:rsidRPr="00A6485C" w:rsidRDefault="00A6485C" w:rsidP="00A6485C">
      <w:pPr>
        <w:pStyle w:val="a5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«Нет такой стороны воспитания, на которую</w:t>
      </w:r>
    </w:p>
    <w:p w:rsidR="00A6485C" w:rsidRPr="00A6485C" w:rsidRDefault="00A6485C" w:rsidP="00A6485C">
      <w:pPr>
        <w:pStyle w:val="a5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обстановка не оказывала бы влияния,</w:t>
      </w:r>
    </w:p>
    <w:p w:rsidR="00A6485C" w:rsidRPr="00A6485C" w:rsidRDefault="00A6485C" w:rsidP="00A6485C">
      <w:pPr>
        <w:pStyle w:val="a5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нет способности, которая не находилась бы</w:t>
      </w:r>
    </w:p>
    <w:p w:rsidR="00A6485C" w:rsidRPr="00A6485C" w:rsidRDefault="00A6485C" w:rsidP="00A6485C">
      <w:pPr>
        <w:pStyle w:val="a5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в прямой зависимости </w:t>
      </w:r>
      <w:proofErr w:type="gramStart"/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от</w:t>
      </w:r>
      <w:proofErr w:type="gramEnd"/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непосредственно</w:t>
      </w:r>
    </w:p>
    <w:p w:rsidR="00A6485C" w:rsidRPr="00A6485C" w:rsidRDefault="00A6485C" w:rsidP="00A6485C">
      <w:pPr>
        <w:pStyle w:val="a5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окружающего ребенка конкретного мира</w:t>
      </w:r>
      <w:proofErr w:type="gramStart"/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.</w:t>
      </w:r>
      <w:proofErr w:type="gramEnd"/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A6485C" w:rsidRPr="00A6485C" w:rsidRDefault="00A6485C" w:rsidP="00A6485C">
      <w:pPr>
        <w:pStyle w:val="a5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Е.И. Тихеева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Важнейшими задачами современной дошкольной педагогической науки и практики являются задачи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гуманизации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решения этих задач был принят новый закон «Об Образовании», в котором дошкольное образование обозначено как ступень образования, введен новый Федеральный государственный образовательный стандарт дошкольного образования (ФГОС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ФГОС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предъявляет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требования к условиям реализации основной общеобразовательной программы дошкольного образования, в том числе требования к организации и обновлению предметно-развивающей среды дошкольного учреждения.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Предметно-развивающая среда в учреждении, реализующем программу дошкольного образования, является одним из важнейших критериев оценки качества образования. Это обусловлено значимостью окружающей обстановки для разностороннего развития ребенка, успешной социализации в обществе.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ФГОС дошкольного образования – это Стандарт условий, а не Стандарт результатов. Новая система координат, повлиявшая на формирование ФГОС дошкольного образования, призывает, прежде всего, ценить, а не оценивать ребёнка. Теперь образование в ДОУ рассматривается как самостоятельный важный период в жизни ребёнка, как важная веха на пути непрерывного образования в жизни человека. На смену пришла более современная педагогика развития, педагогика творчества и свободы. Новая образовательная программа для ДОУ по ФГОС нацелена на всестороннее развитие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ребёнка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основе особых, специфичных видов деятельности, присущих дошкольникам. ФГОС дошкольного образования поддерживает точку зрения на ребёнка, как на «человека играющего», многие методики и технологии должны быть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Исследования последних лет со всей очевидностью показали особую значимость для маленького ребенка социальных условий жизни, складывающихся из общения, обучающих игр, развивающего влияния окружающей среды - всего того, что принято считать культурой воспитания. При этом современный интерьер и дизайн внутренних помещений: оборудование, мебель, игрушки, пособия для малышей, - рассматриваются как необходимые составляющие предметно-пространственной среды. С позиций Стандарта дошкольного образования развивающая образовательная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среда дошкольной организации – это предметно-пространственная среда как часть образовательной среды и ключевой фактор перехода на ФГОС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 организации предметно-развивающей среды ДОУ на сегодняшний день стоит особо актуально.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Необходима содержательная насыщенность предметно-пространственной среды, обеспечивающая реализацию образовательной программы в различных видах детской деятельности.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известно, основной формой работы с дошкольниками и ведущим видом деятельности детей является игра. И при создании развивающего пространства в групповом помещении необходимо учитывать ведущую роль игровой деятельности.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поэтому необходим повышенный интерес к обновлению предметно-развивающей среды ДОУ.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Группы, приспособленной для реализации Программы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 предметно-пространственная среда должна обеспечивать: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реализацию различных образовательных программ;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 организации инклюзивного образования - необходимые для него условия;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Насыщенность среды должна соответствовать возрастным возможностям детей и содержанию Программы.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возможность самовыражения детей.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Предметная среда оказывает на ребенка определенное воздействие уже с первых минут его жизни.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детей третьего года жизни является свободное и большое пространство, где они могут быть в активном движении – лазании, катании.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четвертом году 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среднем - старшем дошкольном возрасте проявляется потребность в игре со сверстниками, создавать свой мир игры. Кроме того в предметно-развивающей среде должно учитываться формирование психологических новообразований в разные годы жизни.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менее важным условием является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многофункциональностьпредметн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развивающей среды. Во всех возрастных группах должно быть уютное место для игры и отдыха детей. При этом содержание предметно-развивающей среды должно периодически обогащаться с ориентацией на поддержание интереса ребенка к предметно-развивающей среде. Так же в каждой группе должны быть созданы специальные центры для самостоятельного активного целенаправленного действия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ребенкаво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всех видах деятельности,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организации предметно-пространственной среды в детском саду необходима сложная, многоплановая и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высокотворческая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 всех педагогов ДОУ. Ведь разнообразие игрушек не является основным условием развития ребенка.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Созданная эстетическая среда вызывает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творческой деятельности, способствует интеллектуальному развитию детей дошкольного возраста.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Роль среды в развитии детей прослеживается на примере ее основных функций: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Организующей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воспитательной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развивающей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организующей функции – предложить ребенку всевозможный материал для его активного участия в разных видах деятельности. В определенном смысле содержание и вид развивающей среды служат толчком для выбора дошкольником того вида самостоятельной деятельности, который будет отвечать его предпочтениям, потребностям или формировать интересы.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формировании предметно-развивающей среды необходимо: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избавляться от загромождения пространства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малофункциональными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несочетаемыми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друг с другом предметами;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создать для ребенка три предметных пространства, отвечающих масштабам действий его рук (масштаб "глаз – рука"), роста и предметного мира взрослых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исходить из эргономических требований к жизнедеятельности: антропометрических, физиологических и психологических особенностей обитателя этой среды.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воспитательной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функцией наполнение и построение развивающей среды должны быть ориентированы на создание ситуаций, когда дети стоят перед нравственным выбором: уступить или взять себе, поделиться или действовать самому, предложить помощь или пройти мимо проблем сверстника. Среда является центром, где зарождается основа для сотрудничества, положительных взаимоотношений, организованного поведения, бережного отношения.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Развивающая функция предполагает, что содержание среды каждой деятельности должно соответствовать "зоне актуального развития" самого слабого и находиться в "зоне ближайшего развития" самого сильного в группе ребенка.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ФГОС к развивающей предметно - развивающей среде: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развивающей среды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Предметно-развивающая среда организуется так, чтобы каждый ребенок имел свободный доступ к играм, игрушкам, материалам, пособиям,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обеспечивающих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 основные виды деятельности, а также возможность свободно заниматься любимым делом. Размещение оборудования по секторам (центрам развития) позволяет детям объединиться подгруппами по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общим интересам. Обязательным в оборудовании являются материалы, активизирующие познавательную деятельность: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развивающие игры, технические устройства и игрушки, модели;</w:t>
      </w:r>
      <w:proofErr w:type="gramEnd"/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предметы для опытно-поисковой работы - магниты, увеличительные стекла, пружинки, весы, мензурки и прочее;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большой выбор природных материалов для изучения, экспериментирования, составления коллекций.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Активный сектор (занимает самую большую площадь в группе), включающий в себя: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игры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двигательной деятельности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конструирования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музыкально театрализованной деятельности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Спокойный сектор: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книги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отдыха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природы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Рабочий сектор: (рабочий сектор занимает 25% всей группы, так как там предполагается размещение оборудования для организации совместной и регламентированной деятельности.</w:t>
      </w:r>
      <w:proofErr w:type="gramEnd"/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познавательной и исследовательской деятельности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продуктивной и творческой деятельности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Ø центр правильной речи и моторики.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части группового пространства имеют условные границы в зависимости от конкретных задач момента, при необходимости можно вместить всех желающих, так как дошкольники «заражаются» текущими интересами сверстников и присоединяются к ним.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Необходимы материалы, учитывающие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гендерные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различия - интересы мальчиков и девочек, как в труде, так и в игре.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 иметь большое количество «подручных» материалов - веревок, коробочек, проволочек, колес, ленточек, которые творчески используются для решения различных игровых проблем.</w:t>
      </w:r>
      <w:proofErr w:type="gramEnd"/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группах старших дошкольников необходимы так же различные материалы, способствующие овладению чтением, математикой. Это: печатные буквы, слова, таблицы, книги с крупным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Среда, окружающая детей в группе должна обеспечивать безопасность их жизни, способствовать укреплению здоровья и закаливанию организма каждого их них.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ходе реализации образовательного процесса необходимо соблюдать принцип интеграции образовательных областей с помощью предметно - развивающей среды группы и детского сада в целом, способствующий формированию единой предметно - пространственной среды.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Организуя предметную среду в групповом помещении необходимо учитывать закономерности психического развития детей, показатели их здоровья, психофизиологические и коммуникативные особенности, уровень общего и речевого развития. Цветовая палитра должна быть представлена теплыми, пастельными тонами.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Предметно-развивающая среда группы должна меняться в зависимости от возрастных особенностей детей.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Важно, чтобы предметная среда имела характер открытой, незамкнутой системы, способной к корректировке и развитию.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 построения предметно - развивающей среды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Театрализованный центр - центр сюжетно-ролевых игр, игр-драматизаций – важный объект развивающей среды, с которого можно начать оснащение группы, поскольку именно театрализованная деятельность помогает сплотить группу, объединить детей интересной идеей, новой для них деятельностью. В театре дошкольники раскрываются, демонстрируя неожиданные грани своего характера.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Робкие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застенчивые становятся уверенными и активными. Тот, кто без желания шел в детский сад, теперь с удовольствием спешит в группу. В театральном уголке размещаются ширма, маски сказочных персонажей, различные виды театра - кукольный, пальчиковый, настольный, теневой,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би-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ба-бо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Педагог вместе с воспитанниками готовит костюмы, атрибуты и декорации к маленьким представлениям. Дети – большие артисты, поэтому с радостью участвуют в постановках и с удовольствием выступают в роли зрителей.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Атрибуты к играм подбираются так,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 Здесь же уместны игры-драматизации по знакомым сказкам, тем более что для них созданы необходимые условия.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природы или природный уголок служит не только украшением группы, но и местом для саморазвития дошкольников. У детей формируются предпосылки экологического сознания, развивается экологическая культура, познавательный интерес к экологии, проблемам природы, желание и стремление разрешить некоторые из экологических проблем, доступными ребенку – дошкольнику средствами.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Воспитателю необходимо подобрать и разместить в нем растения, требующие разных способов ухода, приготовить необходимое оборудование для трудовой деятельности в уголке природы: передники, лейки, палочки для рыхления, пульверизаторы.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природном уголке будут уместны детские поделки из природного материала, экспонаты природы, икебаны, гармонично расставленные на полках. Предусмотренные здесь же подставки на роликах для кашпо с цветами позволят даже детям легко перемещать растения по группе и ухаживать за ними.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подгруппой дошкольников воспитатель может проводить в природном уголке наблюдения, простые опыты и занятия природоведческого характера.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Рядом, под зеленым искусственным деревом причудливой формы, можно расставить пуфики и поиграть в свободные игры.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Неизменной популярностью у дошкольников пользуется центр науки (центр познавательной и исследовательской деятельности), который может быть совмещён с центром природы. Задача данного центра - развитие познавательно – исследовательской деятельности детей, обогащение представлений об окружающем мире, </w:t>
      </w:r>
      <w:proofErr w:type="gram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proofErr w:type="gram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конечном счёте обеспечит успешное интеллектуальное и личностное развитие ребёнка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детского исследования и экспериментирования необходимы самые разнообразные природные и бросовые материалы: мел, песок, глина, камни, ракушки, перья, уголь, микроскопы, глобус, а также лабораторное оборудование – все это вызывает у детей особый интерес. Для познавательного развития воспитатель подбирает специальную детскую литературу, пооперационные карты, алгоритмы проведения опытов. На стенде в форме книги дети могут поместить результаты своих опытов и открытий в виде зарисовок, заметок и отчетов.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Центр продуктивной и творческой деятельности или центр художественного творчества выполняет задачу формирования интереса детей к эстетической стороне окружающей действительности, удовлетворения потребностей детей в самовыражении. Здесь воспитанники в свободное время рисуют, лепят, выполняют аппликационные работы. В распоряжении детей представлен разнообразный изобразительный материал: мелки, акварель, тушь, гуашь и сангина, бумага разной фактуры, размера и цвета, картон, дидактические игры. Здесь же есть место для небольшой выставки с образцами народного художественного промысла (полочка красоты). В центре должны присутствовать альбомы с образцами народно-прикладного искусства, иллюстрации известных художников. Детские работы (рисунки, поделки и коллажи) выставляются на всеобщее обозрение на специальном стенде, к которому имеется свободный доступ.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Центр конструирования способствует развитию детского творчества, конструкторских способностей. Центр может быть достаточно мобилен. Практичность его состоит в том, что любой конструктор легко перемещаются в любое место. Содержимое строительного уголка (конструкторы разного вида, кубики, крупный и мелкий деревянный строительный материал, схемы и чертежи построек) позволяет организовать конструктивную деятельность с большой группой воспитанников, подгруппой и индивидуально, развернуть строительство на ковре либо на столе. Дети, особенно мальчики, всегда с удовольствием занимаются постройками, обыгрывая их, комбинируя с другими видами деятельности.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Яркий, веселый, с нестандартным дизайнерским решением, нетрафаретным оборудованием центр двигательной активности лаконично и гармонично вписывается в пространство групповой комнаты. Он пользуется популярностью у детей, поскольку реализует их потребность в самостоятельной двигательной активности, совместных движениях со сверстниками, свободного использования спортивного инвентаря и физкультурного оборудования. Здесь дошкольники могут заниматься и закреплять разные виды движений. Увеличение двигательной активности оказывает благоприятное влияние на физическое и умственное развитие, состояние здоровья детей.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шумном пространстве игровой комнаты обязательно должен быть такой островок тишины и спокойствия, как центр книги и отдыха, психологической разгрузки, который располагает к созерцательному наблюдению, мечтам и тихим беседам. Ребенок чувствует себя здесь комфортно, спокойно и уютно. Этому способствуют комфортный диван, кресла, рядом любимые книги. Уют, домашняя обстановка позволяют детям комфортно расположиться и погрузиться в волшебный мир книг. В этом центре дети с удовольствием приобщаются к словесному искусству, у детей развивается художественное восприятие и эстетический вкус.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Центр безопасности дорожного движения интересен в первую очередь мальчикам. Он оснащен необходимыми атрибутами к сюжетно-ролевым играм, занятиям для закрепления знаний правил дорожного движения. Это </w:t>
      </w: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всевозможные игрушки – транспортные средства, светофор, фуражка милиционера, жезл регулировщика, макет улицы, дорожные знаки. Хорошим дидактическим пособием служит напольный коврик с разметкой улиц и дорог.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разнообразие и богатство сенсорных впечатлений, возможность свободного подхода к каждому центру в группе способствуют эмоциональному и интеллектуальному развитию воспитанников.</w:t>
      </w:r>
    </w:p>
    <w:p w:rsidR="00A6485C" w:rsidRPr="00A6485C" w:rsidRDefault="00A6485C" w:rsidP="00A6485C">
      <w:pPr>
        <w:pStyle w:val="a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Развивающая среда не может быть построена окончательно. При организации предметно-пространственной среды в детском саду необходима сложная, многоплановая и </w:t>
      </w:r>
      <w:proofErr w:type="spellStart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высокотворческая</w:t>
      </w:r>
      <w:proofErr w:type="spellEnd"/>
      <w:r w:rsidRPr="00A6485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 всех участников образовательного процесса. Дальнейшая работа предполагает осуществление поиска инновационных подходов к организации предметно-развивающей среды в ДОУ, а так же развитие интереса родителей к указанной проблеме и мотивирование стремления к взаимодействию.</w:t>
      </w:r>
    </w:p>
    <w:p w:rsidR="00A6765F" w:rsidRPr="00A6485C" w:rsidRDefault="00A6765F" w:rsidP="00A648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761" w:rsidRPr="00A6485C" w:rsidRDefault="00C33761" w:rsidP="00A6485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33761" w:rsidRPr="00A6485C" w:rsidSect="00177E7E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9E9"/>
    <w:multiLevelType w:val="multilevel"/>
    <w:tmpl w:val="846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27385"/>
    <w:multiLevelType w:val="multilevel"/>
    <w:tmpl w:val="234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A065A"/>
    <w:multiLevelType w:val="multilevel"/>
    <w:tmpl w:val="C1A68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6A5B23"/>
    <w:multiLevelType w:val="multilevel"/>
    <w:tmpl w:val="4C16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96A49"/>
    <w:multiLevelType w:val="multilevel"/>
    <w:tmpl w:val="83748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E0C7E"/>
    <w:multiLevelType w:val="multilevel"/>
    <w:tmpl w:val="DDD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575112"/>
    <w:multiLevelType w:val="multilevel"/>
    <w:tmpl w:val="CE1C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E35FE"/>
    <w:multiLevelType w:val="multilevel"/>
    <w:tmpl w:val="422AB0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A1C99"/>
    <w:multiLevelType w:val="multilevel"/>
    <w:tmpl w:val="9EEA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497314"/>
    <w:multiLevelType w:val="multilevel"/>
    <w:tmpl w:val="2584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124FDA"/>
    <w:multiLevelType w:val="multilevel"/>
    <w:tmpl w:val="308E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A63BC4"/>
    <w:multiLevelType w:val="multilevel"/>
    <w:tmpl w:val="240C5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F5992"/>
    <w:multiLevelType w:val="multilevel"/>
    <w:tmpl w:val="E8D85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AE2FE5"/>
    <w:multiLevelType w:val="multilevel"/>
    <w:tmpl w:val="5242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32C8D"/>
    <w:multiLevelType w:val="multilevel"/>
    <w:tmpl w:val="A4A4D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180E9F"/>
    <w:multiLevelType w:val="multilevel"/>
    <w:tmpl w:val="1A36D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FA4F7A"/>
    <w:multiLevelType w:val="multilevel"/>
    <w:tmpl w:val="7840A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E966D3"/>
    <w:multiLevelType w:val="multilevel"/>
    <w:tmpl w:val="D34E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1A7CBE"/>
    <w:multiLevelType w:val="multilevel"/>
    <w:tmpl w:val="0144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7909C9"/>
    <w:multiLevelType w:val="multilevel"/>
    <w:tmpl w:val="1CBA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EB2954"/>
    <w:multiLevelType w:val="multilevel"/>
    <w:tmpl w:val="5C9081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921617"/>
    <w:multiLevelType w:val="multilevel"/>
    <w:tmpl w:val="522E1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5A2BBD"/>
    <w:multiLevelType w:val="multilevel"/>
    <w:tmpl w:val="4142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82DD4"/>
    <w:multiLevelType w:val="multilevel"/>
    <w:tmpl w:val="BEC29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456313"/>
    <w:multiLevelType w:val="multilevel"/>
    <w:tmpl w:val="1FDE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1631F"/>
    <w:multiLevelType w:val="multilevel"/>
    <w:tmpl w:val="AEB62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F4065"/>
    <w:multiLevelType w:val="multilevel"/>
    <w:tmpl w:val="378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24"/>
  </w:num>
  <w:num w:numId="5">
    <w:abstractNumId w:val="22"/>
  </w:num>
  <w:num w:numId="6">
    <w:abstractNumId w:val="4"/>
  </w:num>
  <w:num w:numId="7">
    <w:abstractNumId w:val="21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20"/>
  </w:num>
  <w:num w:numId="14">
    <w:abstractNumId w:val="15"/>
  </w:num>
  <w:num w:numId="15">
    <w:abstractNumId w:val="14"/>
  </w:num>
  <w:num w:numId="16">
    <w:abstractNumId w:val="25"/>
  </w:num>
  <w:num w:numId="17">
    <w:abstractNumId w:val="11"/>
  </w:num>
  <w:num w:numId="18">
    <w:abstractNumId w:val="12"/>
  </w:num>
  <w:num w:numId="19">
    <w:abstractNumId w:val="6"/>
  </w:num>
  <w:num w:numId="20">
    <w:abstractNumId w:val="7"/>
  </w:num>
  <w:num w:numId="21">
    <w:abstractNumId w:val="23"/>
  </w:num>
  <w:num w:numId="22">
    <w:abstractNumId w:val="0"/>
  </w:num>
  <w:num w:numId="23">
    <w:abstractNumId w:val="8"/>
  </w:num>
  <w:num w:numId="24">
    <w:abstractNumId w:val="10"/>
  </w:num>
  <w:num w:numId="25">
    <w:abstractNumId w:val="9"/>
  </w:num>
  <w:num w:numId="26">
    <w:abstractNumId w:val="1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E7E"/>
    <w:rsid w:val="00177E7E"/>
    <w:rsid w:val="001E5520"/>
    <w:rsid w:val="001F3543"/>
    <w:rsid w:val="004245FA"/>
    <w:rsid w:val="004A6470"/>
    <w:rsid w:val="0071195F"/>
    <w:rsid w:val="008A0B9B"/>
    <w:rsid w:val="009060FC"/>
    <w:rsid w:val="00A6485C"/>
    <w:rsid w:val="00A64D73"/>
    <w:rsid w:val="00A6765F"/>
    <w:rsid w:val="00BD608E"/>
    <w:rsid w:val="00C31095"/>
    <w:rsid w:val="00C33761"/>
    <w:rsid w:val="00E5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5F"/>
  </w:style>
  <w:style w:type="paragraph" w:styleId="1">
    <w:name w:val="heading 1"/>
    <w:basedOn w:val="a"/>
    <w:link w:val="10"/>
    <w:uiPriority w:val="9"/>
    <w:qFormat/>
    <w:rsid w:val="00906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E7E"/>
    <w:rPr>
      <w:b/>
      <w:bCs/>
    </w:rPr>
  </w:style>
  <w:style w:type="paragraph" w:styleId="a5">
    <w:name w:val="No Spacing"/>
    <w:uiPriority w:val="1"/>
    <w:qFormat/>
    <w:rsid w:val="00177E7E"/>
    <w:pPr>
      <w:spacing w:after="0" w:line="240" w:lineRule="auto"/>
    </w:pPr>
  </w:style>
  <w:style w:type="character" w:styleId="a6">
    <w:name w:val="Emphasis"/>
    <w:basedOn w:val="a0"/>
    <w:uiPriority w:val="20"/>
    <w:qFormat/>
    <w:rsid w:val="00A64D73"/>
    <w:rPr>
      <w:i/>
      <w:iCs/>
    </w:rPr>
  </w:style>
  <w:style w:type="paragraph" w:customStyle="1" w:styleId="c3">
    <w:name w:val="c3"/>
    <w:basedOn w:val="a"/>
    <w:rsid w:val="004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45FA"/>
  </w:style>
  <w:style w:type="paragraph" w:customStyle="1" w:styleId="c2">
    <w:name w:val="c2"/>
    <w:basedOn w:val="a"/>
    <w:rsid w:val="004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45FA"/>
  </w:style>
  <w:style w:type="paragraph" w:customStyle="1" w:styleId="c7">
    <w:name w:val="c7"/>
    <w:basedOn w:val="a"/>
    <w:rsid w:val="0042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45FA"/>
  </w:style>
  <w:style w:type="character" w:customStyle="1" w:styleId="c11">
    <w:name w:val="c11"/>
    <w:basedOn w:val="a0"/>
    <w:rsid w:val="004245FA"/>
  </w:style>
  <w:style w:type="character" w:customStyle="1" w:styleId="10">
    <w:name w:val="Заголовок 1 Знак"/>
    <w:basedOn w:val="a0"/>
    <w:link w:val="1"/>
    <w:uiPriority w:val="9"/>
    <w:rsid w:val="009060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0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8">
    <w:name w:val="c8"/>
    <w:basedOn w:val="a0"/>
    <w:rsid w:val="009060FC"/>
  </w:style>
  <w:style w:type="character" w:customStyle="1" w:styleId="c5">
    <w:name w:val="c5"/>
    <w:basedOn w:val="a0"/>
    <w:rsid w:val="009060FC"/>
  </w:style>
  <w:style w:type="paragraph" w:customStyle="1" w:styleId="c21">
    <w:name w:val="c21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060FC"/>
  </w:style>
  <w:style w:type="paragraph" w:customStyle="1" w:styleId="c19">
    <w:name w:val="c19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060FC"/>
  </w:style>
  <w:style w:type="paragraph" w:customStyle="1" w:styleId="c9">
    <w:name w:val="c9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060FC"/>
  </w:style>
  <w:style w:type="character" w:customStyle="1" w:styleId="c29">
    <w:name w:val="c29"/>
    <w:basedOn w:val="a0"/>
    <w:rsid w:val="009060FC"/>
  </w:style>
  <w:style w:type="character" w:customStyle="1" w:styleId="c56">
    <w:name w:val="c56"/>
    <w:basedOn w:val="a0"/>
    <w:rsid w:val="009060FC"/>
  </w:style>
  <w:style w:type="character" w:customStyle="1" w:styleId="c4">
    <w:name w:val="c4"/>
    <w:basedOn w:val="a0"/>
    <w:rsid w:val="009060FC"/>
  </w:style>
  <w:style w:type="character" w:customStyle="1" w:styleId="c39">
    <w:name w:val="c39"/>
    <w:basedOn w:val="a0"/>
    <w:rsid w:val="009060FC"/>
  </w:style>
  <w:style w:type="character" w:customStyle="1" w:styleId="c35">
    <w:name w:val="c35"/>
    <w:basedOn w:val="a0"/>
    <w:rsid w:val="009060FC"/>
  </w:style>
  <w:style w:type="paragraph" w:customStyle="1" w:styleId="c25">
    <w:name w:val="c25"/>
    <w:basedOn w:val="a"/>
    <w:rsid w:val="0090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3275</Words>
  <Characters>18669</Characters>
  <Application>Microsoft Office Word</Application>
  <DocSecurity>0</DocSecurity>
  <Lines>155</Lines>
  <Paragraphs>43</Paragraphs>
  <ScaleCrop>false</ScaleCrop>
  <Company/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2021-02-27T21:27:00Z</dcterms:created>
  <dcterms:modified xsi:type="dcterms:W3CDTF">2021-02-27T22:18:00Z</dcterms:modified>
</cp:coreProperties>
</file>